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B47" w14:textId="77777777" w:rsidR="001C7942" w:rsidRPr="00DA1516" w:rsidRDefault="001C7942" w:rsidP="00A20004">
      <w:pPr>
        <w:spacing w:line="264" w:lineRule="auto"/>
        <w:rPr>
          <w:rFonts w:ascii="Arial" w:eastAsia="Times New Roman" w:hAnsi="Arial" w:cs="Arial"/>
          <w:sz w:val="6"/>
          <w:szCs w:val="6"/>
        </w:rPr>
      </w:pPr>
    </w:p>
    <w:p w14:paraId="2092A539" w14:textId="715581E9" w:rsidR="001C7942" w:rsidRPr="00DA1516" w:rsidRDefault="00234870" w:rsidP="00A20004">
      <w:pPr>
        <w:spacing w:line="264" w:lineRule="auto"/>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1676640" wp14:editId="5DF73FC0">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C285CD"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34D9388D" w14:textId="5C423724" w:rsidR="001C7942" w:rsidRPr="00DA1516" w:rsidRDefault="000B0F3E" w:rsidP="00A20004">
      <w:pPr>
        <w:spacing w:line="264" w:lineRule="auto"/>
        <w:rPr>
          <w:rFonts w:ascii="Arial" w:eastAsia="Times New Roman" w:hAnsi="Arial" w:cs="Arial"/>
          <w:sz w:val="20"/>
          <w:szCs w:val="20"/>
        </w:rPr>
      </w:pPr>
      <w:r>
        <w:rPr>
          <w:rFonts w:ascii="Arial" w:hAnsi="Arial"/>
          <w:noProof/>
        </w:rPr>
        <w:drawing>
          <wp:anchor distT="0" distB="0" distL="114300" distR="114300" simplePos="0" relativeHeight="251658752" behindDoc="0" locked="0" layoutInCell="1" allowOverlap="1" wp14:anchorId="76580E23" wp14:editId="49CDB949">
            <wp:simplePos x="0" y="0"/>
            <wp:positionH relativeFrom="column">
              <wp:posOffset>47297</wp:posOffset>
            </wp:positionH>
            <wp:positionV relativeFrom="paragraph">
              <wp:posOffset>15141</wp:posOffset>
            </wp:positionV>
            <wp:extent cx="7472855" cy="4077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458" t="21463" r="25748" b="33143"/>
                    <a:stretch/>
                  </pic:blipFill>
                  <pic:spPr bwMode="auto">
                    <a:xfrm>
                      <a:off x="0" y="0"/>
                      <a:ext cx="7478691" cy="4080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B3F95" w14:textId="5090C0D3" w:rsidR="001C7942" w:rsidRPr="00DA1516" w:rsidRDefault="001C7942" w:rsidP="00A20004">
      <w:pPr>
        <w:spacing w:line="264" w:lineRule="auto"/>
        <w:rPr>
          <w:rFonts w:ascii="Arial" w:eastAsia="Times New Roman" w:hAnsi="Arial" w:cs="Arial"/>
          <w:sz w:val="20"/>
          <w:szCs w:val="20"/>
        </w:rPr>
      </w:pPr>
    </w:p>
    <w:p w14:paraId="23A3001C" w14:textId="6836B06C" w:rsidR="001C7942" w:rsidRPr="00DA1516" w:rsidRDefault="001C7942" w:rsidP="00A20004">
      <w:pPr>
        <w:spacing w:line="264" w:lineRule="auto"/>
        <w:rPr>
          <w:rFonts w:ascii="Arial" w:eastAsia="Times New Roman" w:hAnsi="Arial" w:cs="Arial"/>
          <w:sz w:val="20"/>
          <w:szCs w:val="20"/>
        </w:rPr>
      </w:pPr>
    </w:p>
    <w:p w14:paraId="3F4808DD" w14:textId="5147FD1A" w:rsidR="001C7942" w:rsidRPr="00DA1516" w:rsidRDefault="001C7942" w:rsidP="00A20004">
      <w:pPr>
        <w:spacing w:line="264" w:lineRule="auto"/>
        <w:rPr>
          <w:rFonts w:ascii="Arial" w:eastAsia="Times New Roman" w:hAnsi="Arial" w:cs="Arial"/>
          <w:sz w:val="20"/>
          <w:szCs w:val="20"/>
        </w:rPr>
      </w:pPr>
    </w:p>
    <w:p w14:paraId="4988E631" w14:textId="6C13AF89" w:rsidR="001C7942" w:rsidRPr="00DA1516" w:rsidRDefault="001C7942" w:rsidP="00A20004">
      <w:pPr>
        <w:spacing w:line="264" w:lineRule="auto"/>
        <w:rPr>
          <w:rFonts w:ascii="Arial" w:eastAsia="Times New Roman" w:hAnsi="Arial" w:cs="Arial"/>
          <w:sz w:val="20"/>
          <w:szCs w:val="20"/>
        </w:rPr>
      </w:pPr>
    </w:p>
    <w:p w14:paraId="23F3D2D3" w14:textId="5FCF7C08" w:rsidR="001C7942" w:rsidRPr="00DA1516" w:rsidRDefault="001C7942" w:rsidP="00A20004">
      <w:pPr>
        <w:spacing w:line="264" w:lineRule="auto"/>
        <w:rPr>
          <w:rFonts w:ascii="Arial" w:eastAsia="Times New Roman" w:hAnsi="Arial" w:cs="Arial"/>
          <w:sz w:val="20"/>
          <w:szCs w:val="20"/>
        </w:rPr>
      </w:pPr>
    </w:p>
    <w:p w14:paraId="5BEBA724" w14:textId="4DADC85A" w:rsidR="001C7942" w:rsidRPr="00DA1516" w:rsidRDefault="001C7942" w:rsidP="00A20004">
      <w:pPr>
        <w:spacing w:line="264" w:lineRule="auto"/>
        <w:rPr>
          <w:rFonts w:ascii="Arial" w:eastAsia="Times New Roman" w:hAnsi="Arial" w:cs="Arial"/>
          <w:sz w:val="20"/>
          <w:szCs w:val="20"/>
        </w:rPr>
      </w:pPr>
    </w:p>
    <w:p w14:paraId="7A77FCA5" w14:textId="4CF77AF3" w:rsidR="001C7942" w:rsidRPr="00DA1516" w:rsidRDefault="001C7942" w:rsidP="00A20004">
      <w:pPr>
        <w:spacing w:line="264" w:lineRule="auto"/>
        <w:rPr>
          <w:rFonts w:ascii="Arial" w:eastAsia="Times New Roman" w:hAnsi="Arial" w:cs="Arial"/>
          <w:sz w:val="20"/>
          <w:szCs w:val="20"/>
        </w:rPr>
      </w:pPr>
    </w:p>
    <w:p w14:paraId="68244DB6" w14:textId="6B571B61" w:rsidR="001C7942" w:rsidRPr="00DA1516" w:rsidRDefault="001C7942" w:rsidP="00A20004">
      <w:pPr>
        <w:spacing w:line="264" w:lineRule="auto"/>
        <w:rPr>
          <w:rFonts w:ascii="Arial" w:eastAsia="Times New Roman" w:hAnsi="Arial" w:cs="Arial"/>
          <w:sz w:val="20"/>
          <w:szCs w:val="20"/>
        </w:rPr>
      </w:pPr>
    </w:p>
    <w:p w14:paraId="53C61E0D" w14:textId="1CD22E5D" w:rsidR="001C7942" w:rsidRPr="00DA1516" w:rsidRDefault="001C7942" w:rsidP="00A20004">
      <w:pPr>
        <w:spacing w:line="264" w:lineRule="auto"/>
        <w:rPr>
          <w:rFonts w:ascii="Arial" w:eastAsia="Times New Roman" w:hAnsi="Arial" w:cs="Arial"/>
          <w:sz w:val="20"/>
          <w:szCs w:val="20"/>
        </w:rPr>
      </w:pPr>
    </w:p>
    <w:p w14:paraId="727BB7E1" w14:textId="68A5BE66" w:rsidR="001C7942" w:rsidRPr="00DA1516" w:rsidRDefault="001C7942" w:rsidP="00A20004">
      <w:pPr>
        <w:spacing w:line="264" w:lineRule="auto"/>
        <w:rPr>
          <w:rFonts w:ascii="Arial" w:eastAsia="Times New Roman" w:hAnsi="Arial" w:cs="Arial"/>
          <w:sz w:val="20"/>
          <w:szCs w:val="20"/>
        </w:rPr>
      </w:pPr>
    </w:p>
    <w:p w14:paraId="0F4A26CE" w14:textId="69E9788C" w:rsidR="001C7942" w:rsidRPr="00DA1516" w:rsidRDefault="001C7942" w:rsidP="00A20004">
      <w:pPr>
        <w:spacing w:line="264" w:lineRule="auto"/>
        <w:rPr>
          <w:rFonts w:ascii="Arial" w:eastAsia="Times New Roman" w:hAnsi="Arial" w:cs="Arial"/>
          <w:sz w:val="20"/>
          <w:szCs w:val="20"/>
        </w:rPr>
      </w:pPr>
    </w:p>
    <w:p w14:paraId="2ABF6E40" w14:textId="6EF9B896" w:rsidR="001C7942" w:rsidRPr="00DA1516" w:rsidRDefault="001C7942" w:rsidP="00A20004">
      <w:pPr>
        <w:spacing w:line="264" w:lineRule="auto"/>
        <w:rPr>
          <w:rFonts w:ascii="Arial" w:eastAsia="Times New Roman" w:hAnsi="Arial" w:cs="Arial"/>
          <w:sz w:val="20"/>
          <w:szCs w:val="20"/>
        </w:rPr>
      </w:pPr>
    </w:p>
    <w:p w14:paraId="0CF556AF" w14:textId="77777777" w:rsidR="001C7942" w:rsidRPr="00DA1516" w:rsidRDefault="001C7942" w:rsidP="00A20004">
      <w:pPr>
        <w:spacing w:line="264" w:lineRule="auto"/>
        <w:rPr>
          <w:rFonts w:ascii="Arial" w:eastAsia="Times New Roman" w:hAnsi="Arial" w:cs="Arial"/>
          <w:sz w:val="20"/>
          <w:szCs w:val="20"/>
        </w:rPr>
      </w:pPr>
    </w:p>
    <w:p w14:paraId="3B0B2B5A" w14:textId="77777777" w:rsidR="001C7942" w:rsidRPr="00DA1516" w:rsidRDefault="001C7942" w:rsidP="00A20004">
      <w:pPr>
        <w:spacing w:line="264" w:lineRule="auto"/>
        <w:rPr>
          <w:rFonts w:ascii="Arial" w:eastAsia="Times New Roman" w:hAnsi="Arial" w:cs="Arial"/>
          <w:sz w:val="20"/>
          <w:szCs w:val="20"/>
        </w:rPr>
      </w:pPr>
    </w:p>
    <w:p w14:paraId="368AE2E1" w14:textId="27AC6D63" w:rsidR="001C7942" w:rsidRPr="00DA1516" w:rsidRDefault="001C7942" w:rsidP="00A20004">
      <w:pPr>
        <w:spacing w:line="264" w:lineRule="auto"/>
        <w:rPr>
          <w:rFonts w:ascii="Arial" w:eastAsia="Times New Roman" w:hAnsi="Arial" w:cs="Arial"/>
          <w:sz w:val="20"/>
          <w:szCs w:val="20"/>
        </w:rPr>
      </w:pPr>
    </w:p>
    <w:p w14:paraId="092E9AA6" w14:textId="77777777" w:rsidR="001C7942" w:rsidRPr="00DA1516" w:rsidRDefault="001C7942" w:rsidP="00A20004">
      <w:pPr>
        <w:spacing w:line="264" w:lineRule="auto"/>
        <w:rPr>
          <w:rFonts w:ascii="Arial" w:eastAsia="Times New Roman" w:hAnsi="Arial" w:cs="Arial"/>
          <w:sz w:val="20"/>
          <w:szCs w:val="20"/>
        </w:rPr>
      </w:pPr>
    </w:p>
    <w:p w14:paraId="5BEF7BAA" w14:textId="77777777" w:rsidR="001C7942" w:rsidRPr="00DA1516" w:rsidRDefault="001C7942" w:rsidP="00A20004">
      <w:pPr>
        <w:spacing w:line="264" w:lineRule="auto"/>
        <w:rPr>
          <w:rFonts w:ascii="Arial" w:eastAsia="Times New Roman" w:hAnsi="Arial" w:cs="Arial"/>
          <w:sz w:val="20"/>
          <w:szCs w:val="20"/>
        </w:rPr>
      </w:pPr>
    </w:p>
    <w:p w14:paraId="0D680CCA" w14:textId="77777777" w:rsidR="001C7942" w:rsidRPr="00DA1516" w:rsidRDefault="001C7942" w:rsidP="00A20004">
      <w:pPr>
        <w:spacing w:line="264" w:lineRule="auto"/>
        <w:rPr>
          <w:rFonts w:ascii="Arial" w:eastAsia="Times New Roman" w:hAnsi="Arial" w:cs="Arial"/>
          <w:sz w:val="20"/>
          <w:szCs w:val="20"/>
        </w:rPr>
      </w:pPr>
    </w:p>
    <w:p w14:paraId="6BBF67AA" w14:textId="77777777" w:rsidR="001C7942" w:rsidRPr="00DA1516" w:rsidRDefault="001C7942" w:rsidP="00A20004">
      <w:pPr>
        <w:spacing w:line="264" w:lineRule="auto"/>
        <w:rPr>
          <w:rFonts w:ascii="Arial" w:eastAsia="Times New Roman" w:hAnsi="Arial" w:cs="Arial"/>
          <w:sz w:val="20"/>
          <w:szCs w:val="20"/>
        </w:rPr>
      </w:pPr>
    </w:p>
    <w:p w14:paraId="28F8CD22" w14:textId="77777777" w:rsidR="001C7942" w:rsidRPr="00DA1516" w:rsidRDefault="001C7942" w:rsidP="00A20004">
      <w:pPr>
        <w:spacing w:line="264" w:lineRule="auto"/>
        <w:rPr>
          <w:rFonts w:ascii="Arial" w:eastAsia="Times New Roman" w:hAnsi="Arial" w:cs="Arial"/>
          <w:sz w:val="20"/>
          <w:szCs w:val="20"/>
        </w:rPr>
      </w:pPr>
    </w:p>
    <w:p w14:paraId="6BE26C3D" w14:textId="77777777" w:rsidR="001C7942" w:rsidRPr="00DA1516" w:rsidRDefault="001C7942" w:rsidP="00A20004">
      <w:pPr>
        <w:spacing w:line="264" w:lineRule="auto"/>
        <w:rPr>
          <w:rFonts w:ascii="Arial" w:eastAsia="Times New Roman" w:hAnsi="Arial" w:cs="Arial"/>
          <w:sz w:val="20"/>
          <w:szCs w:val="20"/>
        </w:rPr>
      </w:pPr>
    </w:p>
    <w:p w14:paraId="685F46A9" w14:textId="77777777" w:rsidR="001C7942" w:rsidRPr="00DA1516" w:rsidRDefault="001C7942" w:rsidP="00A20004">
      <w:pPr>
        <w:spacing w:line="264" w:lineRule="auto"/>
        <w:rPr>
          <w:rFonts w:ascii="Arial" w:eastAsia="Times New Roman" w:hAnsi="Arial" w:cs="Arial"/>
          <w:sz w:val="20"/>
          <w:szCs w:val="20"/>
        </w:rPr>
      </w:pPr>
    </w:p>
    <w:p w14:paraId="2A26ADD1" w14:textId="77777777" w:rsidR="001C7942" w:rsidRPr="00DA1516" w:rsidRDefault="001C7942" w:rsidP="00A20004">
      <w:pPr>
        <w:spacing w:line="264" w:lineRule="auto"/>
        <w:rPr>
          <w:rFonts w:ascii="Arial" w:eastAsia="Times New Roman" w:hAnsi="Arial" w:cs="Arial"/>
          <w:sz w:val="20"/>
          <w:szCs w:val="20"/>
        </w:rPr>
      </w:pPr>
    </w:p>
    <w:p w14:paraId="28E6FE66" w14:textId="77777777" w:rsidR="001C7942" w:rsidRPr="00DA1516" w:rsidRDefault="001C7942" w:rsidP="00A20004">
      <w:pPr>
        <w:spacing w:line="264" w:lineRule="auto"/>
        <w:rPr>
          <w:rFonts w:ascii="Arial" w:eastAsia="Times New Roman" w:hAnsi="Arial" w:cs="Arial"/>
          <w:sz w:val="20"/>
          <w:szCs w:val="20"/>
        </w:rPr>
      </w:pPr>
    </w:p>
    <w:p w14:paraId="239ED232" w14:textId="77777777" w:rsidR="001C7942" w:rsidRPr="00DA1516" w:rsidRDefault="001C7942" w:rsidP="00A20004">
      <w:pPr>
        <w:spacing w:line="264" w:lineRule="auto"/>
        <w:rPr>
          <w:rFonts w:ascii="Arial" w:eastAsia="Times New Roman" w:hAnsi="Arial" w:cs="Arial"/>
          <w:sz w:val="20"/>
          <w:szCs w:val="20"/>
        </w:rPr>
      </w:pPr>
    </w:p>
    <w:p w14:paraId="1EF28C5A" w14:textId="6D04DC68" w:rsidR="001C7942" w:rsidRPr="00DA1516" w:rsidRDefault="00FF0EA9" w:rsidP="00A20004">
      <w:pPr>
        <w:spacing w:line="264" w:lineRule="auto"/>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800" behindDoc="0" locked="0" layoutInCell="1" allowOverlap="1" wp14:anchorId="098DF7C3" wp14:editId="02D60220">
                <wp:simplePos x="0" y="0"/>
                <wp:positionH relativeFrom="column">
                  <wp:posOffset>5686425</wp:posOffset>
                </wp:positionH>
                <wp:positionV relativeFrom="paragraph">
                  <wp:posOffset>129540</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26114565" w14:textId="77777777" w:rsidR="00FF0EA9" w:rsidRPr="00CC7DCB" w:rsidRDefault="00FF0EA9" w:rsidP="00FF0EA9">
                            <w:pPr>
                              <w:jc w:val="right"/>
                              <w:rPr>
                                <w:rFonts w:ascii="Arial" w:hAnsi="Arial" w:cs="Arial"/>
                              </w:rPr>
                            </w:pPr>
                            <w:r>
                              <w:rPr>
                                <w:rFonts w:ascii="Arial" w:hAnsi="Arial"/>
                                <w:color w:val="231F20"/>
                                <w:sz w:val="16"/>
                              </w:rPr>
                              <w:t>Stand: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F7C3" id="_x0000_t202" coordsize="21600,21600" o:spt="202" path="m,l,21600r21600,l21600,xe">
                <v:stroke joinstyle="miter"/>
                <v:path gradientshapeok="t" o:connecttype="rect"/>
              </v:shapetype>
              <v:shape id="Tekstfelt 2" o:spid="_x0000_s1026" type="#_x0000_t202" style="position:absolute;margin-left:447.75pt;margin-top:10.2pt;width:109.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" filled="f" stroked="f">
                <v:textbox>
                  <w:txbxContent>
                    <w:p w14:paraId="26114565" w14:textId="77777777" w:rsidR="00FF0EA9" w:rsidRPr="00CC7DCB" w:rsidRDefault="00FF0EA9" w:rsidP="00FF0EA9">
                      <w:pPr>
                        <w:jc w:val="right"/>
                        <w:rPr>
                          <w:rFonts w:ascii="Arial" w:hAnsi="Arial" w:cs="Arial"/>
                        </w:rPr>
                      </w:pPr>
                      <w:r>
                        <w:rPr>
                          <w:rFonts w:ascii="Arial" w:hAnsi="Arial"/>
                          <w:color w:val="231F20"/>
                          <w:sz w:val="16"/>
                        </w:rPr>
                        <w:t>Stand: 04/2021</w:t>
                      </w:r>
                    </w:p>
                  </w:txbxContent>
                </v:textbox>
              </v:shape>
            </w:pict>
          </mc:Fallback>
        </mc:AlternateContent>
      </w:r>
    </w:p>
    <w:p w14:paraId="59FF1769" w14:textId="3CA24DCC" w:rsidR="001C7942" w:rsidRPr="00DA1516" w:rsidRDefault="008B1A3D" w:rsidP="00A20004">
      <w:pPr>
        <w:pStyle w:val="Overskrift1"/>
        <w:tabs>
          <w:tab w:val="left" w:pos="9753"/>
        </w:tabs>
        <w:spacing w:line="264" w:lineRule="auto"/>
        <w:ind w:right="902"/>
        <w:rPr>
          <w:rFonts w:cs="Arial"/>
        </w:rPr>
      </w:pPr>
      <w:r>
        <w:t xml:space="preserve">TECHNISCHES DATENBLATT NR. 3078 – </w:t>
      </w:r>
      <w:r w:rsidR="00CC662F">
        <w:t>RTVS</w:t>
      </w:r>
      <w:r>
        <w:t> 27 HTC</w:t>
      </w:r>
    </w:p>
    <w:p w14:paraId="2A31F242" w14:textId="77777777" w:rsidR="001C7942" w:rsidRPr="00DA1516" w:rsidRDefault="008B1A3D" w:rsidP="00A20004">
      <w:pPr>
        <w:pStyle w:val="Overskrift1"/>
        <w:tabs>
          <w:tab w:val="left" w:pos="9753"/>
        </w:tabs>
        <w:spacing w:line="264" w:lineRule="auto"/>
        <w:ind w:right="902"/>
        <w:rPr>
          <w:rFonts w:cs="Arial"/>
        </w:rPr>
      </w:pPr>
      <w:r>
        <w:t>NIEDERVISKOSE, WÄRMELEITFÄHIGE VERGUSSMASSE</w:t>
      </w:r>
    </w:p>
    <w:p w14:paraId="5927A305" w14:textId="77777777" w:rsidR="001C7942" w:rsidRPr="00DA1516" w:rsidRDefault="001C7942" w:rsidP="00A20004">
      <w:pPr>
        <w:spacing w:line="264" w:lineRule="auto"/>
        <w:rPr>
          <w:rFonts w:ascii="Arial" w:eastAsia="Arial" w:hAnsi="Arial" w:cs="Arial"/>
          <w:b/>
          <w:bCs/>
          <w:sz w:val="5"/>
          <w:szCs w:val="5"/>
        </w:rPr>
      </w:pPr>
    </w:p>
    <w:p w14:paraId="60A5D6DF" w14:textId="52F56465" w:rsidR="001C7942" w:rsidRPr="00DA1516" w:rsidRDefault="00234870" w:rsidP="00A20004">
      <w:pPr>
        <w:spacing w:line="264" w:lineRule="auto"/>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42BD4EB3" wp14:editId="68BDC32C">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260A8"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553123F8" w14:textId="77777777" w:rsidR="001C7942" w:rsidRPr="00DA1516" w:rsidRDefault="001C7942" w:rsidP="00A20004">
      <w:pPr>
        <w:spacing w:line="264" w:lineRule="auto"/>
        <w:rPr>
          <w:rFonts w:ascii="Arial" w:eastAsia="Arial" w:hAnsi="Arial" w:cs="Arial"/>
          <w:b/>
          <w:bCs/>
          <w:sz w:val="20"/>
          <w:szCs w:val="20"/>
        </w:rPr>
      </w:pPr>
    </w:p>
    <w:p w14:paraId="593DBDB4" w14:textId="77777777" w:rsidR="001C7942" w:rsidRPr="00DA1516" w:rsidRDefault="001C7942" w:rsidP="00A20004">
      <w:pPr>
        <w:spacing w:line="264" w:lineRule="auto"/>
        <w:rPr>
          <w:rFonts w:ascii="Arial" w:eastAsia="Arial" w:hAnsi="Arial" w:cs="Arial"/>
          <w:b/>
          <w:bCs/>
          <w:sz w:val="21"/>
          <w:szCs w:val="21"/>
        </w:rPr>
      </w:pPr>
    </w:p>
    <w:p w14:paraId="30A38FB6" w14:textId="77777777" w:rsidR="001C7942" w:rsidRPr="00DA1516" w:rsidRDefault="001C7942" w:rsidP="00A20004">
      <w:pPr>
        <w:spacing w:line="264" w:lineRule="auto"/>
        <w:rPr>
          <w:rFonts w:ascii="Arial" w:eastAsia="Arial" w:hAnsi="Arial" w:cs="Arial"/>
          <w:sz w:val="21"/>
          <w:szCs w:val="21"/>
        </w:rPr>
        <w:sectPr w:rsidR="001C7942" w:rsidRPr="00DA1516">
          <w:footerReference w:type="default" r:id="rId11"/>
          <w:type w:val="continuous"/>
          <w:pgSz w:w="11910" w:h="16840"/>
          <w:pgMar w:top="260" w:right="0" w:bottom="280" w:left="0" w:header="720" w:footer="720" w:gutter="0"/>
          <w:cols w:space="720"/>
        </w:sectPr>
      </w:pPr>
    </w:p>
    <w:p w14:paraId="0DCD137C" w14:textId="77777777" w:rsidR="001C7942" w:rsidRPr="00DA1516" w:rsidRDefault="008B1A3D" w:rsidP="00A20004">
      <w:pPr>
        <w:pStyle w:val="Overskrift2"/>
        <w:spacing w:line="264" w:lineRule="auto"/>
        <w:ind w:left="907"/>
        <w:rPr>
          <w:rFonts w:cs="Arial"/>
          <w:b w:val="0"/>
          <w:bCs w:val="0"/>
        </w:rPr>
      </w:pPr>
      <w:r>
        <w:rPr>
          <w:color w:val="231F20"/>
        </w:rPr>
        <w:t>PRODUKTBESCHREIBUNG</w:t>
      </w:r>
    </w:p>
    <w:p w14:paraId="0F7131C6" w14:textId="2721CBF5" w:rsidR="001C7942" w:rsidRPr="00DA1516" w:rsidRDefault="008B1A3D" w:rsidP="00A20004">
      <w:pPr>
        <w:spacing w:line="264" w:lineRule="auto"/>
        <w:ind w:left="907"/>
        <w:rPr>
          <w:rFonts w:ascii="Arial" w:eastAsia="Arial" w:hAnsi="Arial" w:cs="Arial"/>
          <w:sz w:val="18"/>
          <w:szCs w:val="18"/>
        </w:rPr>
      </w:pPr>
      <w:r>
        <w:rPr>
          <w:rFonts w:ascii="Arial" w:hAnsi="Arial"/>
          <w:color w:val="231F20"/>
          <w:sz w:val="18"/>
        </w:rPr>
        <w:t xml:space="preserve">Bei </w:t>
      </w:r>
      <w:r>
        <w:rPr>
          <w:rFonts w:ascii="Arial" w:hAnsi="Arial"/>
          <w:b/>
          <w:color w:val="231F20"/>
          <w:sz w:val="18"/>
        </w:rPr>
        <w:t>RTVS 27 HTC</w:t>
      </w:r>
      <w:r>
        <w:rPr>
          <w:rFonts w:ascii="Arial" w:hAnsi="Arial"/>
          <w:color w:val="231F20"/>
          <w:sz w:val="18"/>
        </w:rPr>
        <w:t xml:space="preserve"> handelt es sich um eine niederviskose, nicht reversible Silikon</w:t>
      </w:r>
      <w:r w:rsidR="006A753C">
        <w:rPr>
          <w:rFonts w:ascii="Arial" w:hAnsi="Arial"/>
          <w:color w:val="231F20"/>
          <w:sz w:val="18"/>
        </w:rPr>
        <w:softHyphen/>
      </w:r>
      <w:r>
        <w:rPr>
          <w:rFonts w:ascii="Arial" w:hAnsi="Arial"/>
          <w:color w:val="231F20"/>
          <w:sz w:val="18"/>
        </w:rPr>
        <w:t xml:space="preserve">verbindung mit Brandschutzklasse UL94V-0. Dank seiner Kombination aus geringer Viskosität und hoher Wärmeleitfähigkeit eignet sich </w:t>
      </w:r>
      <w:r>
        <w:rPr>
          <w:rFonts w:ascii="Arial" w:hAnsi="Arial"/>
          <w:b/>
          <w:color w:val="231F20"/>
          <w:sz w:val="18"/>
        </w:rPr>
        <w:t>RTVS 27 HTC</w:t>
      </w:r>
      <w:r>
        <w:rPr>
          <w:rFonts w:ascii="Arial" w:hAnsi="Arial"/>
          <w:color w:val="231F20"/>
          <w:sz w:val="18"/>
        </w:rPr>
        <w:t xml:space="preserve"> ideal zum Vergießen dichter Komponentenpakete, bei denen eine Wärmeableitung erforderlich ist.</w:t>
      </w:r>
    </w:p>
    <w:p w14:paraId="048F357A" w14:textId="77777777" w:rsidR="001C7942" w:rsidRPr="00DA1516" w:rsidRDefault="008B1A3D" w:rsidP="00514E9C">
      <w:pPr>
        <w:pStyle w:val="Overskrift2"/>
        <w:spacing w:line="264" w:lineRule="auto"/>
        <w:ind w:left="454"/>
        <w:rPr>
          <w:rFonts w:eastAsiaTheme="minorHAnsi" w:cs="Arial"/>
        </w:rPr>
      </w:pPr>
      <w:r>
        <w:br w:type="column"/>
      </w:r>
      <w:r>
        <w:rPr>
          <w:color w:val="231F20"/>
        </w:rPr>
        <w:t>E</w:t>
      </w:r>
      <w:r>
        <w:t>IGENSCHAFTEN (NICHT AUSGEHÄRTET)</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901572" w:rsidRPr="00DA1516" w14:paraId="714649FB"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4C45755" w14:textId="77777777" w:rsidR="00901572" w:rsidRPr="00DA1516" w:rsidRDefault="00901572" w:rsidP="00901572">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7164B"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Teil 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FF20DA"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Teil 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C0A5D" w14:textId="77777777" w:rsidR="00901572" w:rsidRPr="00DA1516" w:rsidRDefault="00901572" w:rsidP="00901572">
            <w:pPr>
              <w:jc w:val="center"/>
              <w:rPr>
                <w:rFonts w:ascii="Arial" w:hAnsi="Arial" w:cs="Arial"/>
                <w:sz w:val="14"/>
                <w:szCs w:val="14"/>
              </w:rPr>
            </w:pPr>
          </w:p>
        </w:tc>
      </w:tr>
      <w:tr w:rsidR="00901572" w:rsidRPr="00DA1516" w14:paraId="41480F6A"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09104DE"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FARBE, AUSSEHEN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67474AA"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Dunkelgrau</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CAC8A8D"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Weiß</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24C398A" w14:textId="77777777" w:rsidR="00901572" w:rsidRPr="00DA1516" w:rsidRDefault="00901572" w:rsidP="00901572">
            <w:pPr>
              <w:pStyle w:val="TableParagraph"/>
              <w:jc w:val="center"/>
              <w:rPr>
                <w:rFonts w:ascii="Arial" w:eastAsia="Bahnschrift Light Condensed" w:hAnsi="Arial" w:cs="Arial"/>
                <w:sz w:val="14"/>
                <w:szCs w:val="14"/>
              </w:rPr>
            </w:pPr>
            <w:r>
              <w:rPr>
                <w:rFonts w:ascii="Arial" w:hAnsi="Arial"/>
                <w:color w:val="231F20"/>
                <w:sz w:val="14"/>
              </w:rPr>
              <w:t>-</w:t>
            </w:r>
          </w:p>
        </w:tc>
      </w:tr>
      <w:tr w:rsidR="00901572" w:rsidRPr="00DA1516" w14:paraId="05E68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04843CC4"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VISKOSITÄT,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BDAD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8.000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A7F17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3.300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7C111"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C11AFB0"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78623501"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SPEZIFISCHES GEWICHT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986FB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034940"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1,96</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A1E00CE"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24D4B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D8DA60B"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MISCHUNGSVERHÄLTNIS (nach Gewicht oder Volumen)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27A2D3"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19E66A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349B297D"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0099C65"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MISCHVISKOSITÄT,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BC18E9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6.000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B88A7D4"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F474817"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F936019"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TOPFZEIT bei 25ºC, h</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3DA880F"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1A26D48"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1F64367F"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CA5412B"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HALTBARKEIT bei 25ºC, in Monaten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AC1EBE9"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C84029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bl>
    <w:p w14:paraId="050333CF" w14:textId="5DD73E22" w:rsidR="00901572" w:rsidRPr="00DA1516" w:rsidRDefault="00901572" w:rsidP="00901572">
      <w:pPr>
        <w:spacing w:after="40" w:line="264" w:lineRule="auto"/>
        <w:ind w:left="454"/>
        <w:rPr>
          <w:rFonts w:ascii="Arial" w:hAnsi="Arial" w:cs="Arial"/>
          <w:b/>
          <w:color w:val="231F20"/>
          <w:sz w:val="18"/>
        </w:rPr>
        <w:sectPr w:rsidR="00901572" w:rsidRPr="00DA1516">
          <w:type w:val="continuous"/>
          <w:pgSz w:w="11910" w:h="16840"/>
          <w:pgMar w:top="260" w:right="0" w:bottom="280" w:left="0" w:header="720" w:footer="720" w:gutter="0"/>
          <w:cols w:num="2" w:space="720" w:equalWidth="0">
            <w:col w:w="4486" w:space="40"/>
            <w:col w:w="7384"/>
          </w:cols>
        </w:sectPr>
      </w:pPr>
    </w:p>
    <w:p w14:paraId="66E73F4C" w14:textId="77777777" w:rsidR="001C7942" w:rsidRPr="00DA1516" w:rsidRDefault="001C7942" w:rsidP="00A20004">
      <w:pPr>
        <w:spacing w:line="264" w:lineRule="auto"/>
        <w:rPr>
          <w:rFonts w:ascii="Arial" w:eastAsia="Arial" w:hAnsi="Arial" w:cs="Arial"/>
          <w:b/>
          <w:bCs/>
          <w:sz w:val="20"/>
          <w:szCs w:val="20"/>
        </w:rPr>
      </w:pPr>
    </w:p>
    <w:p w14:paraId="5074422A" w14:textId="77777777" w:rsidR="001C7942" w:rsidRPr="00DA1516" w:rsidRDefault="001C7942" w:rsidP="00A20004">
      <w:pPr>
        <w:spacing w:line="264" w:lineRule="auto"/>
        <w:rPr>
          <w:rFonts w:ascii="Arial" w:eastAsia="Arial" w:hAnsi="Arial" w:cs="Arial"/>
          <w:b/>
          <w:bCs/>
          <w:sz w:val="20"/>
          <w:szCs w:val="20"/>
        </w:rPr>
      </w:pPr>
    </w:p>
    <w:p w14:paraId="171B3341" w14:textId="77777777" w:rsidR="001C7942" w:rsidRPr="00DA1516" w:rsidRDefault="001C7942" w:rsidP="00A20004">
      <w:pPr>
        <w:spacing w:line="264" w:lineRule="auto"/>
        <w:rPr>
          <w:rFonts w:ascii="Arial" w:eastAsia="Arial" w:hAnsi="Arial" w:cs="Arial"/>
          <w:b/>
          <w:bCs/>
          <w:sz w:val="19"/>
          <w:szCs w:val="19"/>
        </w:rPr>
      </w:pPr>
    </w:p>
    <w:p w14:paraId="098A10F8" w14:textId="7FF51E91" w:rsidR="001C7942" w:rsidRPr="00DA1516" w:rsidRDefault="00234870" w:rsidP="00841CC3">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3729D264" wp14:editId="0CCF18BF">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1665B"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TECHNISCHES DATENBLATT NR. 3078 – INSULCAST 27 HTC</w:t>
      </w:r>
    </w:p>
    <w:p w14:paraId="10B9B118" w14:textId="77777777" w:rsidR="001C7942" w:rsidRPr="00DA1516" w:rsidRDefault="001C7942" w:rsidP="00A20004">
      <w:pPr>
        <w:spacing w:line="264" w:lineRule="auto"/>
        <w:rPr>
          <w:rFonts w:ascii="Arial" w:eastAsia="Arial" w:hAnsi="Arial" w:cs="Arial"/>
          <w:b/>
          <w:bCs/>
          <w:sz w:val="15"/>
          <w:szCs w:val="15"/>
        </w:rPr>
      </w:pPr>
    </w:p>
    <w:p w14:paraId="3ECBA5A2" w14:textId="6983ED43" w:rsidR="001C7942" w:rsidRPr="00DA1516" w:rsidRDefault="00234870" w:rsidP="00A20004">
      <w:pPr>
        <w:spacing w:line="264" w:lineRule="auto"/>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722A766E" wp14:editId="2F29969E">
                <wp:extent cx="6409690" cy="6350"/>
                <wp:effectExtent l="4445" t="3175" r="571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75380"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a4w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259E0F5F" w14:textId="77777777" w:rsidR="001C7942" w:rsidRPr="00DA1516" w:rsidRDefault="001C7942" w:rsidP="00A20004">
      <w:pPr>
        <w:spacing w:line="264" w:lineRule="auto"/>
        <w:rPr>
          <w:rFonts w:ascii="Arial" w:eastAsia="Arial" w:hAnsi="Arial" w:cs="Arial"/>
          <w:b/>
          <w:bCs/>
          <w:sz w:val="18"/>
          <w:szCs w:val="18"/>
        </w:rPr>
      </w:pPr>
    </w:p>
    <w:p w14:paraId="3BC068FB" w14:textId="77777777" w:rsidR="001C7942" w:rsidRPr="00DA1516" w:rsidRDefault="001C7942" w:rsidP="00A20004">
      <w:pPr>
        <w:spacing w:line="264" w:lineRule="auto"/>
        <w:rPr>
          <w:rFonts w:ascii="Arial" w:eastAsia="Arial" w:hAnsi="Arial" w:cs="Arial"/>
          <w:sz w:val="18"/>
          <w:szCs w:val="18"/>
        </w:rPr>
        <w:sectPr w:rsidR="001C7942" w:rsidRPr="00DA1516">
          <w:footerReference w:type="default" r:id="rId12"/>
          <w:pgSz w:w="11910" w:h="16840"/>
          <w:pgMar w:top="260" w:right="800" w:bottom="280" w:left="760" w:header="720" w:footer="720" w:gutter="0"/>
          <w:cols w:space="720"/>
        </w:sectPr>
      </w:pPr>
    </w:p>
    <w:p w14:paraId="0ABB25C6"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EIGENSCHAFTEN (AUSGEHÄRTET)</w:t>
      </w:r>
    </w:p>
    <w:tbl>
      <w:tblPr>
        <w:tblW w:w="0" w:type="auto"/>
        <w:tblInd w:w="113" w:type="dxa"/>
        <w:tblLayout w:type="fixed"/>
        <w:tblCellMar>
          <w:top w:w="28" w:type="dxa"/>
          <w:left w:w="57" w:type="dxa"/>
          <w:bottom w:w="28" w:type="dxa"/>
          <w:right w:w="57" w:type="dxa"/>
        </w:tblCellMar>
        <w:tblLook w:val="01E0" w:firstRow="1" w:lastRow="1" w:firstColumn="1" w:lastColumn="1" w:noHBand="0" w:noVBand="0"/>
      </w:tblPr>
      <w:tblGrid>
        <w:gridCol w:w="2906"/>
        <w:gridCol w:w="1695"/>
        <w:gridCol w:w="1199"/>
      </w:tblGrid>
      <w:tr w:rsidR="001C7942" w:rsidRPr="000F34B0" w14:paraId="51F74F75" w14:textId="77777777" w:rsidTr="005B2DAA">
        <w:tc>
          <w:tcPr>
            <w:tcW w:w="290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8A4E2C3"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b/>
                <w:color w:val="231F20"/>
                <w:sz w:val="14"/>
              </w:rPr>
              <w:t>PHYSIKALISCH</w:t>
            </w:r>
          </w:p>
        </w:tc>
        <w:tc>
          <w:tcPr>
            <w:tcW w:w="1695"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89C37C4" w14:textId="77777777" w:rsidR="001C7942" w:rsidRPr="00AE0648" w:rsidRDefault="001C7942" w:rsidP="000F34B0">
            <w:pPr>
              <w:spacing w:line="264" w:lineRule="auto"/>
              <w:jc w:val="center"/>
              <w:rPr>
                <w:rFonts w:ascii="Arial" w:hAnsi="Arial" w:cs="Arial"/>
                <w:sz w:val="14"/>
                <w:szCs w:val="14"/>
              </w:rPr>
            </w:pPr>
          </w:p>
        </w:tc>
        <w:tc>
          <w:tcPr>
            <w:tcW w:w="1199"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C144DBF" w14:textId="77777777" w:rsidR="001C7942" w:rsidRPr="00AE0648" w:rsidRDefault="001C7942" w:rsidP="000F34B0">
            <w:pPr>
              <w:spacing w:line="264" w:lineRule="auto"/>
              <w:jc w:val="center"/>
              <w:rPr>
                <w:rFonts w:ascii="Arial" w:hAnsi="Arial" w:cs="Arial"/>
                <w:sz w:val="14"/>
                <w:szCs w:val="14"/>
              </w:rPr>
            </w:pPr>
          </w:p>
        </w:tc>
      </w:tr>
      <w:tr w:rsidR="001C7942" w:rsidRPr="000F34B0" w14:paraId="6B078AD5"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B028C1"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HÄRTE, DUROMETER, Shore 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C182125"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BC68A7"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2240</w:t>
            </w:r>
          </w:p>
        </w:tc>
      </w:tr>
      <w:tr w:rsidR="001C7942" w:rsidRPr="000F34B0" w14:paraId="3360DC7E"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B66081D" w14:textId="31A6AD20"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ZUGFESTIGKEIT, psi/MPa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4520864" w14:textId="7DF4EC14"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500/3,4</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A18C59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DB1768D"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5F78ED0"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ZUGDEHNUNG, %</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2E8E8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61E265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A35CABD"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1DD9BD" w14:textId="366F491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WÄRMEAUSDEHNUNGSKOEFFIZIENT, m/mK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36EB53" w14:textId="323F11CF"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17.0x10</w:t>
            </w:r>
            <w:r>
              <w:rPr>
                <w:rFonts w:ascii="Arial" w:hAnsi="Arial"/>
                <w:color w:val="231F20"/>
                <w:sz w:val="14"/>
                <w:vertAlign w:val="superscript"/>
              </w:rPr>
              <w:t>-5</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EE837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69EC0006"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CAF8716" w14:textId="36CCD103"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WÄRMELEITFÄHIGKEIT, W/mK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DE02FA"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424FC3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4A407E85"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C9DBAB"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BRANDSCHUTZKLASSE UL94V-0</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FD01C4" w14:textId="6A7B3030"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Erfüllt</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C39A373"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122309A6"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7428504"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 xml:space="preserve">ANWENDUNGSTEMPERATUR, </w:t>
            </w:r>
            <w:r>
              <w:rPr>
                <w:rFonts w:ascii="Arial" w:hAnsi="Arial"/>
                <w:color w:val="231F20"/>
                <w:sz w:val="14"/>
                <w:vertAlign w:val="superscript"/>
              </w:rPr>
              <w:t>°</w:t>
            </w:r>
            <w:r>
              <w:rPr>
                <w:rFonts w:ascii="Arial" w:hAnsi="Arial"/>
                <w:color w:val="231F20"/>
                <w:sz w:val="14"/>
              </w:rPr>
              <w:t>C</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F5B5FB" w14:textId="12F481F3"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-55 bis 232</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533B9F"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bl>
    <w:p w14:paraId="5CD30D73" w14:textId="77777777" w:rsidR="001C7942" w:rsidRPr="00DA1516" w:rsidRDefault="001C7942" w:rsidP="00A20004">
      <w:pPr>
        <w:spacing w:line="264" w:lineRule="auto"/>
        <w:rPr>
          <w:rFonts w:ascii="Arial" w:eastAsia="Arial" w:hAnsi="Arial" w:cs="Arial"/>
          <w:b/>
          <w:bCs/>
          <w:sz w:val="18"/>
          <w:szCs w:val="18"/>
        </w:rPr>
      </w:pPr>
    </w:p>
    <w:p w14:paraId="27B7D74F"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ELEKTRISCH</w:t>
      </w:r>
    </w:p>
    <w:tbl>
      <w:tblPr>
        <w:tblW w:w="5800" w:type="dxa"/>
        <w:tblInd w:w="113" w:type="dxa"/>
        <w:tblLayout w:type="fixed"/>
        <w:tblCellMar>
          <w:top w:w="28" w:type="dxa"/>
          <w:left w:w="57" w:type="dxa"/>
          <w:bottom w:w="28" w:type="dxa"/>
          <w:right w:w="57" w:type="dxa"/>
        </w:tblCellMar>
        <w:tblLook w:val="01E0" w:firstRow="1" w:lastRow="1" w:firstColumn="1" w:lastColumn="1" w:noHBand="0" w:noVBand="0"/>
      </w:tblPr>
      <w:tblGrid>
        <w:gridCol w:w="2917"/>
        <w:gridCol w:w="1658"/>
        <w:gridCol w:w="1225"/>
      </w:tblGrid>
      <w:tr w:rsidR="001C7942" w:rsidRPr="000F34B0" w14:paraId="79FC966C" w14:textId="77777777" w:rsidTr="00AE0648">
        <w:tc>
          <w:tcPr>
            <w:tcW w:w="2917"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E7A683E" w14:textId="6400FD79"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DURCHSCHLAGFESTIGKEIT, Volt/µm / V/m</w:t>
            </w:r>
          </w:p>
        </w:tc>
        <w:tc>
          <w:tcPr>
            <w:tcW w:w="165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68FE0C34" w14:textId="2C7D8C16"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 / 1,97x10</w:t>
            </w:r>
            <w:r>
              <w:rPr>
                <w:rFonts w:ascii="Arial" w:hAnsi="Arial"/>
                <w:color w:val="231F20"/>
                <w:sz w:val="14"/>
                <w:vertAlign w:val="superscript"/>
              </w:rPr>
              <w:t>7</w:t>
            </w:r>
          </w:p>
        </w:tc>
        <w:tc>
          <w:tcPr>
            <w:tcW w:w="1225"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7527267E"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149</w:t>
            </w:r>
          </w:p>
        </w:tc>
      </w:tr>
      <w:tr w:rsidR="001C7942" w:rsidRPr="000F34B0" w14:paraId="6F4DB96A" w14:textId="77777777" w:rsidTr="00AE0648">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A23A7BD" w14:textId="4A4FFE0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DIELEKTRIZITÄTSKONSTANTE,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4E6FD43" w14:textId="77777777"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4,0</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C8ED9FD"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559EE41C" w14:textId="77777777" w:rsidTr="00AE0648">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CF170A" w14:textId="71097C6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VERLUSTFAKTOR,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B3941B"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0,0075</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6458F8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35DAB556" w14:textId="77777777" w:rsidTr="00AE0648">
        <w:tc>
          <w:tcPr>
            <w:tcW w:w="291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4BA1F25E" w14:textId="77777777"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DURCHGANGSWIDERSTAND, Ohm-cm</w:t>
            </w:r>
          </w:p>
        </w:tc>
        <w:tc>
          <w:tcPr>
            <w:tcW w:w="165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EDBE514"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1x1015</w:t>
            </w:r>
          </w:p>
        </w:tc>
        <w:tc>
          <w:tcPr>
            <w:tcW w:w="1225"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74EFFD7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257</w:t>
            </w:r>
          </w:p>
        </w:tc>
      </w:tr>
    </w:tbl>
    <w:p w14:paraId="226B83A1" w14:textId="77777777" w:rsidR="001C7942" w:rsidRPr="00DA1516" w:rsidRDefault="001C7942" w:rsidP="00A20004">
      <w:pPr>
        <w:spacing w:line="264" w:lineRule="auto"/>
        <w:rPr>
          <w:rFonts w:ascii="Arial" w:eastAsia="Arial" w:hAnsi="Arial" w:cs="Arial"/>
          <w:b/>
          <w:bCs/>
          <w:sz w:val="18"/>
          <w:szCs w:val="18"/>
        </w:rPr>
      </w:pPr>
    </w:p>
    <w:p w14:paraId="11A573B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MISCHANLEITUNG</w:t>
      </w:r>
    </w:p>
    <w:p w14:paraId="1355A846" w14:textId="7D1461D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b/>
          <w:color w:val="231F20"/>
          <w:sz w:val="18"/>
        </w:rPr>
        <w:t>Mischen Sie die Teile A &amp; B von RTVS 27 HTC</w:t>
      </w:r>
      <w:r>
        <w:rPr>
          <w:rFonts w:ascii="Arial" w:hAnsi="Arial"/>
          <w:color w:val="231F20"/>
          <w:sz w:val="18"/>
        </w:rPr>
        <w:t xml:space="preserve"> zunächst in ihrer jeweiligen Originalverpackung, bevor Sie Material entnehmen. Es kann in einigen Fällen zu einem Absinken weicher Bestandteile auf den Behälterboden kommen, die sich aber sofort wieder auflösen.</w:t>
      </w:r>
    </w:p>
    <w:p w14:paraId="58254904" w14:textId="103ECCC8"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Entnehmen Sie gleich große Portionen (entweder nach Gewicht oder nach Volumen) von Teil A &amp; B.</w:t>
      </w:r>
    </w:p>
    <w:p w14:paraId="296EF226"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Mischen Sie diese gründlich und kratzen Sie dabei auch den Boden und die Seitenwände des Mischbehälters ab.</w:t>
      </w:r>
    </w:p>
    <w:p w14:paraId="204C7186" w14:textId="5442C1FD"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Um einen hohlraumfreien Verguss zu erzielen, beaufschlagen Sie die Mischung bei 29 inHg (0,98 bar) für 3 bis 4 Minuten mit Vakuum.</w:t>
      </w:r>
    </w:p>
    <w:p w14:paraId="2FABF3BA"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Gießen Sie sie in eine Einheit oder Form.</w:t>
      </w:r>
    </w:p>
    <w:p w14:paraId="72B1FC6F" w14:textId="77777777" w:rsidR="001C7942" w:rsidRPr="00DA1516" w:rsidRDefault="001C7942" w:rsidP="00AA617E">
      <w:pPr>
        <w:spacing w:line="264" w:lineRule="auto"/>
        <w:ind w:left="147"/>
        <w:rPr>
          <w:rFonts w:ascii="Arial" w:eastAsia="Arial" w:hAnsi="Arial" w:cs="Arial"/>
          <w:sz w:val="18"/>
          <w:szCs w:val="18"/>
        </w:rPr>
      </w:pPr>
    </w:p>
    <w:p w14:paraId="312E34A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AUSHÄRTUNGSPLAN</w:t>
      </w:r>
    </w:p>
    <w:p w14:paraId="095A3599" w14:textId="77777777" w:rsidR="00AA617E" w:rsidRDefault="008B1A3D" w:rsidP="00AA617E">
      <w:pPr>
        <w:spacing w:line="264" w:lineRule="auto"/>
        <w:ind w:left="147"/>
        <w:rPr>
          <w:rFonts w:ascii="Arial" w:hAnsi="Arial" w:cs="Arial"/>
          <w:color w:val="231F20"/>
          <w:sz w:val="18"/>
          <w:szCs w:val="18"/>
        </w:rPr>
      </w:pPr>
      <w:r>
        <w:rPr>
          <w:rFonts w:ascii="Arial" w:hAnsi="Arial"/>
          <w:color w:val="231F20"/>
          <w:sz w:val="18"/>
        </w:rPr>
        <w:t xml:space="preserve">Über Nacht bei Raumtemperatur (24 Stunden bei 25ºC) </w:t>
      </w:r>
    </w:p>
    <w:p w14:paraId="54A7782F" w14:textId="1D9C1EE7" w:rsidR="001C7942" w:rsidRPr="00DA1516" w:rsidRDefault="002B3966" w:rsidP="00AA617E">
      <w:pPr>
        <w:spacing w:line="264" w:lineRule="auto"/>
        <w:ind w:left="147"/>
        <w:rPr>
          <w:rFonts w:ascii="Arial" w:eastAsia="Arial" w:hAnsi="Arial" w:cs="Arial"/>
          <w:sz w:val="18"/>
          <w:szCs w:val="18"/>
        </w:rPr>
      </w:pPr>
      <w:r>
        <w:rPr>
          <w:rFonts w:ascii="Arial" w:hAnsi="Arial"/>
          <w:color w:val="231F20"/>
          <w:sz w:val="18"/>
        </w:rPr>
        <w:t>oder 2 Stunden bei 60ºC (140°F)</w:t>
      </w:r>
    </w:p>
    <w:p w14:paraId="154EB3B6" w14:textId="77777777" w:rsidR="00AA617E" w:rsidRDefault="002B3966" w:rsidP="00AA617E">
      <w:pPr>
        <w:spacing w:line="264" w:lineRule="auto"/>
        <w:ind w:left="147"/>
        <w:rPr>
          <w:rFonts w:ascii="Arial" w:hAnsi="Arial" w:cs="Arial"/>
          <w:color w:val="231F20"/>
          <w:sz w:val="18"/>
          <w:szCs w:val="18"/>
        </w:rPr>
      </w:pPr>
      <w:r>
        <w:rPr>
          <w:rFonts w:ascii="Arial" w:hAnsi="Arial"/>
          <w:color w:val="231F20"/>
          <w:sz w:val="18"/>
        </w:rPr>
        <w:t>oder 30 Minuten bei 95ºC (203°F)</w:t>
      </w:r>
    </w:p>
    <w:p w14:paraId="37BA8AC7" w14:textId="3F50AECD"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oder 15 Minuten bei 120ºC (248°F)</w:t>
      </w:r>
    </w:p>
    <w:p w14:paraId="0A6AB6C2" w14:textId="77777777" w:rsidR="001C7942" w:rsidRPr="00DA1516" w:rsidRDefault="001C7942" w:rsidP="00AA617E">
      <w:pPr>
        <w:spacing w:line="264" w:lineRule="auto"/>
        <w:ind w:left="147"/>
        <w:rPr>
          <w:rFonts w:ascii="Arial" w:eastAsia="Arial" w:hAnsi="Arial" w:cs="Arial"/>
          <w:sz w:val="18"/>
          <w:szCs w:val="18"/>
        </w:rPr>
      </w:pPr>
    </w:p>
    <w:p w14:paraId="3AF1E860"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LAGERBEDINGUNGEN</w:t>
      </w:r>
    </w:p>
    <w:p w14:paraId="6D6C71AE" w14:textId="77777777"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Bei Raumtemperatur lagern. Die einzelnen Bestandteile dieses Produktes können sich während Versand oder Lagerung am Boden absetzen. Daher sollte das Produkt vor seinem Gebrauch gut durchmischt werden. Die Masse an einem kühlen, trockenen Ort aufbewahren.</w:t>
      </w:r>
    </w:p>
    <w:p w14:paraId="74521300" w14:textId="77777777" w:rsidR="001C7942" w:rsidRPr="00DA1516" w:rsidRDefault="001C7942" w:rsidP="00AA617E">
      <w:pPr>
        <w:spacing w:line="264" w:lineRule="auto"/>
        <w:ind w:left="147"/>
        <w:rPr>
          <w:rFonts w:ascii="Arial" w:eastAsia="Arial" w:hAnsi="Arial" w:cs="Arial"/>
          <w:sz w:val="18"/>
          <w:szCs w:val="18"/>
        </w:rPr>
      </w:pPr>
    </w:p>
    <w:p w14:paraId="0BAFCB55"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BESONDERE HINWEISE</w:t>
      </w:r>
    </w:p>
    <w:p w14:paraId="261F793F" w14:textId="06858407"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 xml:space="preserve">Bestimmte Materialien können die Aushärtung von </w:t>
      </w:r>
      <w:r>
        <w:rPr>
          <w:rFonts w:ascii="Arial" w:hAnsi="Arial"/>
          <w:b/>
          <w:color w:val="231F20"/>
          <w:sz w:val="18"/>
        </w:rPr>
        <w:t>RTVS 27 HTC</w:t>
      </w:r>
      <w:r>
        <w:rPr>
          <w:rFonts w:ascii="Arial" w:hAnsi="Arial"/>
          <w:color w:val="231F20"/>
          <w:sz w:val="18"/>
        </w:rPr>
        <w:t xml:space="preserve"> erschweren, wenn sie in Kontakt mit dem gemischten und nicht ausgehärteten Produkt kommen. Stoffe, wie beispielsweise Amine und amingehärtete Epoxidharze, schwefelhaltige Substanzen und Kondensationssilikone (zinngehärtet), können die Aushärtung verhindern. Selbst Oberflächen, die mit diesen Stoffen in Kontakt gekommen sind, können sich negativ auf die Aushärtung auswirken. Im Zweifelsfall sollte die Wirkung an einer unauffälligen Stelle getestet werden.</w:t>
      </w:r>
    </w:p>
    <w:p w14:paraId="330F16D4" w14:textId="53F555D6" w:rsidR="001C7942" w:rsidRPr="00DA1516" w:rsidRDefault="008B1A3D" w:rsidP="00DA1516">
      <w:pPr>
        <w:spacing w:line="336" w:lineRule="auto"/>
        <w:ind w:left="147"/>
        <w:rPr>
          <w:rFonts w:ascii="Arial" w:hAnsi="Arial" w:cs="Arial"/>
          <w:b/>
          <w:bCs/>
          <w:sz w:val="14"/>
          <w:szCs w:val="14"/>
        </w:rPr>
      </w:pPr>
      <w:r>
        <w:br w:type="column"/>
      </w:r>
      <w:r>
        <w:rPr>
          <w:rFonts w:ascii="Arial" w:hAnsi="Arial"/>
          <w:b/>
          <w:color w:val="231F20"/>
          <w:sz w:val="14"/>
        </w:rPr>
        <w:t>ACHTUNG:</w:t>
      </w:r>
    </w:p>
    <w:p w14:paraId="7B46582B" w14:textId="7D4210DD" w:rsidR="001C7942" w:rsidRPr="00DA1516" w:rsidRDefault="008B1A3D" w:rsidP="00DA1516">
      <w:pPr>
        <w:pStyle w:val="Brdtekst"/>
        <w:spacing w:before="0" w:line="336" w:lineRule="auto"/>
        <w:rPr>
          <w:rFonts w:cs="Arial"/>
        </w:rPr>
      </w:pPr>
      <w:r>
        <w:rPr>
          <w:color w:val="231F20"/>
        </w:rPr>
        <w:t>Die nachstehenden Bestimmungen ersetzen alle Angaben in Ihren unternehmenseigenen Formularen, Briefvorlagen und Unterlagen. ITW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ITW PERFORMANCE POLYMERS DIE HAFTUNG FÜR BEILÄUFIG ENTSTANDENE ODER FOLGESCHÄDEN ODER ANDERWEITIGE, AUS ANGEBLICHER FAHRLÄSSIGKEIT, GARANTIEVERLETZUNG ODER DER GEFÄHRDUNGS</w:t>
      </w:r>
      <w:r w:rsidR="000435BB">
        <w:rPr>
          <w:color w:val="231F20"/>
        </w:rPr>
        <w:softHyphen/>
      </w:r>
      <w:r>
        <w:rPr>
          <w:color w:val="231F20"/>
        </w:rPr>
        <w:t>HAFTUNG RESULTIERENDE ODER AUF ANDEREN RECHTSGRUNDLAGEN BERUHENDE SCHÄDEN, DIE SICH AUS DER VERWENDUNG ODER NUTZUNG DIESES PRODUKTES ERGEBEN.</w:t>
      </w:r>
    </w:p>
    <w:p w14:paraId="31A65E79" w14:textId="197F6491" w:rsidR="001C7942" w:rsidRPr="00DA1516" w:rsidRDefault="008B1A3D" w:rsidP="00DA1516">
      <w:pPr>
        <w:pStyle w:val="Brdtekst"/>
        <w:spacing w:before="0" w:line="336" w:lineRule="auto"/>
        <w:rPr>
          <w:rFonts w:cs="Arial"/>
        </w:rPr>
      </w:pPr>
      <w:r>
        <w:rPr>
          <w:color w:val="231F20"/>
        </w:rPr>
        <w:t>Die einzige Haftung von ITW PERFORMANCE POLYMERS für Ansprüche, die sich aus der Herstellung, der Verwendung oder dem Verkauf ihrer Produkte ergeben, ist auf die Erstattung des Kaufpreises an den Käufer beschränkt, unter der Voraussetzung, dass eine solche Erstattung im alleinigen Ermessen von ITW PERFORMANCE POLYMERS nachweislich gerechtfertigt ist.</w:t>
      </w:r>
    </w:p>
    <w:p w14:paraId="56830AF1" w14:textId="77777777" w:rsidR="001C7942" w:rsidRPr="00DA1516" w:rsidRDefault="001C7942" w:rsidP="00DA1516">
      <w:pPr>
        <w:spacing w:line="336" w:lineRule="auto"/>
        <w:ind w:left="147"/>
        <w:rPr>
          <w:rFonts w:ascii="Arial" w:eastAsia="Arial" w:hAnsi="Arial" w:cs="Arial"/>
          <w:sz w:val="14"/>
          <w:szCs w:val="14"/>
        </w:rPr>
      </w:pPr>
    </w:p>
    <w:p w14:paraId="7C47A839" w14:textId="77777777" w:rsidR="001C7942" w:rsidRPr="00DA1516" w:rsidRDefault="008B1A3D" w:rsidP="00DA1516">
      <w:pPr>
        <w:pStyle w:val="Overskrift3"/>
        <w:spacing w:line="336" w:lineRule="auto"/>
        <w:rPr>
          <w:rFonts w:cs="Arial"/>
          <w:b w:val="0"/>
          <w:bCs w:val="0"/>
        </w:rPr>
      </w:pPr>
      <w:r>
        <w:rPr>
          <w:color w:val="231F20"/>
        </w:rPr>
        <w:t>GESUNDHEITSHINWEIS:</w:t>
      </w:r>
    </w:p>
    <w:p w14:paraId="640D8964" w14:textId="6A8DD995" w:rsidR="001C7942" w:rsidRPr="00DA1516" w:rsidRDefault="00200762" w:rsidP="00DA1516">
      <w:pPr>
        <w:pStyle w:val="Brdtekst"/>
        <w:spacing w:before="0" w:line="336" w:lineRule="auto"/>
        <w:rPr>
          <w:rFonts w:cs="Arial"/>
        </w:rPr>
      </w:pPr>
      <w:r>
        <w:rPr>
          <w:color w:val="231F20"/>
        </w:rPr>
        <w:t>Lesen Sie das Sicherheitsdatenblatt vor der Verwendung aufmerksam durch. Die Verwendung von Atemschutz</w:t>
      </w:r>
      <w:r w:rsidR="000435BB">
        <w:rPr>
          <w:color w:val="231F20"/>
        </w:rPr>
        <w:softHyphen/>
      </w:r>
      <w:r>
        <w:rPr>
          <w:color w:val="231F20"/>
        </w:rPr>
        <w:t>ausrüstung mit CE- oder NIOSH-Zulassung ist u. U. erforderlich. Das Einatmen von Gasen, Dämpfen und Nebel sollte vermieden werden, da dadurch schwere Schäden der Atemwege verursacht werden können. Führen Sie die Arbeiten stets in ausreichend belüfteten Räumlichkeiten durch, damit sich Polyamine und andere chemische Dämpfe, wie u. U.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1CB5F4BE" w14:textId="77777777" w:rsidR="006C6FCD" w:rsidRPr="00DA1516" w:rsidRDefault="006C6FCD" w:rsidP="00DA1516">
      <w:pPr>
        <w:pStyle w:val="Brdtekst"/>
        <w:spacing w:before="0" w:line="336" w:lineRule="auto"/>
        <w:rPr>
          <w:rFonts w:cs="Arial"/>
          <w:color w:val="231F20"/>
        </w:rPr>
      </w:pPr>
    </w:p>
    <w:p w14:paraId="765CB6BD" w14:textId="1BD38585" w:rsidR="001C7942" w:rsidRPr="00DA1516" w:rsidRDefault="008B1A3D" w:rsidP="00DA1516">
      <w:pPr>
        <w:pStyle w:val="Brdtekst"/>
        <w:spacing w:before="0" w:line="336" w:lineRule="auto"/>
        <w:rPr>
          <w:rFonts w:cs="Arial"/>
        </w:rPr>
      </w:pPr>
      <w:r>
        <w:rPr>
          <w:color w:val="231F20"/>
        </w:rPr>
        <w:t>Bei der Arbeit mit lösungsmittelbasierten Substanzen oder Lösungsmitteln dürfen sich in keinem Fall offene Flammen oder Zündquellen in der Nähe befinden.</w:t>
      </w:r>
    </w:p>
    <w:p w14:paraId="5DDB62B3" w14:textId="77777777" w:rsidR="001C7942" w:rsidRPr="00DA1516" w:rsidRDefault="001C7942" w:rsidP="00DA1516">
      <w:pPr>
        <w:spacing w:line="336" w:lineRule="auto"/>
        <w:ind w:left="147"/>
        <w:rPr>
          <w:rFonts w:ascii="Arial" w:eastAsia="Arial" w:hAnsi="Arial" w:cs="Arial"/>
          <w:sz w:val="14"/>
          <w:szCs w:val="14"/>
        </w:rPr>
      </w:pPr>
    </w:p>
    <w:p w14:paraId="4466588D" w14:textId="79DCAE85" w:rsidR="001C7942" w:rsidRPr="00DA1516" w:rsidRDefault="008B1A3D" w:rsidP="00DA1516">
      <w:pPr>
        <w:pStyle w:val="Overskrift3"/>
        <w:spacing w:line="336" w:lineRule="auto"/>
        <w:rPr>
          <w:rFonts w:cs="Arial"/>
          <w:b w:val="0"/>
          <w:bCs w:val="0"/>
        </w:rPr>
      </w:pPr>
      <w:r>
        <w:rPr>
          <w:color w:val="231F20"/>
        </w:rPr>
        <w:t>WEITERE INFORMATIONEN ZU ERSTE-HILFE-MASSNAHMEN ENTNEHMEN SIE BITTE DEM SICHERHEITSDATENBLATT. RUFEN SIE IM NOTFALL DIE</w:t>
      </w:r>
      <w:r w:rsidR="000435BB">
        <w:rPr>
          <w:color w:val="231F20"/>
        </w:rPr>
        <w:t> </w:t>
      </w:r>
      <w:r>
        <w:rPr>
          <w:color w:val="231F20"/>
        </w:rPr>
        <w:t>CHEMTREC-HOTLINE (24 h) AN: 800 424-9300.</w:t>
      </w:r>
    </w:p>
    <w:p w14:paraId="255FE5CD" w14:textId="77777777" w:rsidR="001C7942" w:rsidRPr="00DA1516" w:rsidRDefault="001C7942" w:rsidP="00A20004">
      <w:pPr>
        <w:spacing w:line="264" w:lineRule="auto"/>
        <w:rPr>
          <w:rFonts w:ascii="Arial" w:hAnsi="Arial" w:cs="Arial"/>
        </w:rPr>
        <w:sectPr w:rsidR="001C7942" w:rsidRPr="00DA1516" w:rsidSect="00DA1516">
          <w:type w:val="continuous"/>
          <w:pgSz w:w="11910" w:h="16840"/>
          <w:pgMar w:top="261" w:right="799" w:bottom="278" w:left="760" w:header="720" w:footer="720" w:gutter="0"/>
          <w:cols w:num="2" w:space="720" w:equalWidth="0">
            <w:col w:w="6024" w:space="262"/>
            <w:col w:w="4065"/>
          </w:cols>
          <w:titlePg/>
        </w:sectPr>
      </w:pPr>
    </w:p>
    <w:p w14:paraId="06FE866C" w14:textId="77777777" w:rsidR="008B1A3D" w:rsidRPr="00DA1516" w:rsidRDefault="008B1A3D" w:rsidP="00A20004">
      <w:pPr>
        <w:spacing w:line="264" w:lineRule="auto"/>
        <w:rPr>
          <w:rFonts w:ascii="Arial" w:eastAsia="Arial" w:hAnsi="Arial" w:cs="Arial"/>
          <w:sz w:val="13"/>
          <w:szCs w:val="13"/>
        </w:rPr>
      </w:pPr>
    </w:p>
    <w:sectPr w:rsidR="008B1A3D" w:rsidRPr="00DA1516">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68A" w14:textId="77777777" w:rsidR="00A20004" w:rsidRDefault="00A20004" w:rsidP="00A20004">
      <w:r>
        <w:separator/>
      </w:r>
    </w:p>
  </w:endnote>
  <w:endnote w:type="continuationSeparator" w:id="0">
    <w:p w14:paraId="53511B24" w14:textId="77777777" w:rsidR="00A20004" w:rsidRDefault="00A20004" w:rsidP="00A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224" w14:textId="25D0BD27" w:rsidR="00A20004" w:rsidRPr="00DA1516" w:rsidRDefault="00A20004" w:rsidP="00DA1516">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88D" w14:textId="77777777" w:rsidR="00DA1516" w:rsidRPr="00CC662F" w:rsidRDefault="00DA1516" w:rsidP="00A20004">
    <w:pPr>
      <w:ind w:left="144"/>
      <w:rPr>
        <w:rFonts w:ascii="Arial" w:eastAsia="Arial" w:hAnsi="Arial" w:cs="Arial"/>
        <w:sz w:val="16"/>
        <w:szCs w:val="16"/>
        <w:lang w:val="en-US"/>
      </w:rPr>
    </w:pPr>
    <w:r w:rsidRPr="00CC662F">
      <w:rPr>
        <w:rFonts w:ascii="Arial" w:hAnsi="Arial"/>
        <w:b/>
        <w:color w:val="231F20"/>
        <w:sz w:val="16"/>
        <w:lang w:val="en-US"/>
      </w:rPr>
      <w:t xml:space="preserve">ITW PERFORMANCE POLYMERS  </w:t>
    </w:r>
    <w:hyperlink r:id="rId1" w:history="1">
      <w:r w:rsidRPr="00CC662F">
        <w:rPr>
          <w:rStyle w:val="Hyperlink"/>
          <w:rFonts w:ascii="Arial" w:hAnsi="Arial"/>
          <w:sz w:val="16"/>
          <w:szCs w:val="28"/>
          <w:lang w:val="en-US"/>
        </w:rPr>
        <w:t>www.itwperformancepolymers.com</w:t>
      </w:r>
    </w:hyperlink>
    <w:r w:rsidRPr="00CC662F">
      <w:rPr>
        <w:rStyle w:val="Hyperlink"/>
        <w:rFonts w:ascii="Arial" w:hAnsi="Arial"/>
        <w:sz w:val="16"/>
        <w:u w:val="none"/>
        <w:lang w:val="en-US"/>
      </w:rPr>
      <w:t xml:space="preserve"> / </w:t>
    </w:r>
    <w:hyperlink r:id="rId2" w:history="1">
      <w:r w:rsidRPr="00CC662F">
        <w:rPr>
          <w:rStyle w:val="Hyperlink"/>
          <w:rFonts w:ascii="Arial" w:hAnsi="Arial"/>
          <w:sz w:val="16"/>
          <w:szCs w:val="28"/>
          <w:lang w:val="en-US"/>
        </w:rPr>
        <w:t>www.itwpp.com</w:t>
      </w:r>
    </w:hyperlink>
    <w:r w:rsidRPr="00CC662F">
      <w:rPr>
        <w:rStyle w:val="Hyperlink"/>
        <w:rFonts w:ascii="Arial" w:hAnsi="Arial"/>
        <w:sz w:val="16"/>
        <w:u w:val="none"/>
        <w:lang w:val="en-US"/>
      </w:rPr>
      <w:t xml:space="preserve"> </w:t>
    </w:r>
  </w:p>
  <w:p w14:paraId="576C77B6" w14:textId="77777777" w:rsidR="00DA1516" w:rsidRPr="00CC662F" w:rsidRDefault="00DA1516" w:rsidP="00A20004">
    <w:pPr>
      <w:ind w:left="144"/>
      <w:rPr>
        <w:rFonts w:ascii="Arial" w:hAnsi="Arial" w:cs="Arial"/>
        <w:color w:val="231F20"/>
        <w:sz w:val="16"/>
        <w:szCs w:val="16"/>
        <w:lang w:val="en-US"/>
      </w:rPr>
    </w:pPr>
  </w:p>
  <w:p w14:paraId="77396DAF" w14:textId="77777777" w:rsidR="00DA1516" w:rsidRPr="00CC662F" w:rsidRDefault="00DA1516" w:rsidP="00A20004">
    <w:pPr>
      <w:ind w:left="144"/>
      <w:rPr>
        <w:rFonts w:ascii="Arial" w:hAnsi="Arial" w:cs="Arial"/>
        <w:color w:val="231F20"/>
        <w:sz w:val="16"/>
        <w:szCs w:val="16"/>
        <w:lang w:val="en-US"/>
      </w:rPr>
    </w:pPr>
    <w:r w:rsidRPr="00CC662F">
      <w:rPr>
        <w:rFonts w:ascii="Arial" w:hAnsi="Arial"/>
        <w:color w:val="231F20"/>
        <w:sz w:val="16"/>
        <w:lang w:val="en-US"/>
      </w:rPr>
      <w:t xml:space="preserve">Amerika: 130 Commerce Drive | Montgomeryville | PA 18936 | USA | Tel.: 215-855-8450 | </w:t>
    </w:r>
    <w:hyperlink r:id="rId3" w:history="1">
      <w:r w:rsidRPr="00CC662F">
        <w:rPr>
          <w:rStyle w:val="Hyperlink"/>
          <w:rFonts w:ascii="Arial" w:hAnsi="Arial"/>
          <w:sz w:val="16"/>
          <w:szCs w:val="16"/>
          <w:lang w:val="en-US"/>
        </w:rPr>
        <w:t>customerservice.na@itwpp.com</w:t>
      </w:r>
    </w:hyperlink>
    <w:r w:rsidRPr="00CC662F">
      <w:rPr>
        <w:rFonts w:ascii="Arial" w:hAnsi="Arial"/>
        <w:color w:val="231F20"/>
        <w:sz w:val="16"/>
        <w:lang w:val="en-US"/>
      </w:rPr>
      <w:t xml:space="preserve">  </w:t>
    </w:r>
  </w:p>
  <w:p w14:paraId="7131DA57" w14:textId="77777777" w:rsidR="00DA1516" w:rsidRPr="00CC662F" w:rsidRDefault="00DA1516" w:rsidP="00A20004">
    <w:pPr>
      <w:ind w:left="144"/>
      <w:rPr>
        <w:rFonts w:ascii="Arial" w:hAnsi="Arial" w:cs="Arial"/>
        <w:color w:val="231F20"/>
        <w:sz w:val="13"/>
        <w:lang w:val="en-US"/>
      </w:rPr>
    </w:pPr>
  </w:p>
  <w:p w14:paraId="209240E8" w14:textId="77777777" w:rsidR="00DA1516" w:rsidRPr="00CC662F" w:rsidRDefault="00DA1516" w:rsidP="00A20004">
    <w:pPr>
      <w:ind w:left="144"/>
      <w:rPr>
        <w:rFonts w:ascii="Arial" w:hAnsi="Arial" w:cs="Arial"/>
        <w:color w:val="231F20"/>
        <w:sz w:val="16"/>
        <w:szCs w:val="16"/>
        <w:lang w:val="en-US"/>
      </w:rPr>
    </w:pPr>
    <w:r w:rsidRPr="00CC662F">
      <w:rPr>
        <w:rFonts w:ascii="Arial" w:hAnsi="Arial"/>
        <w:color w:val="231F20"/>
        <w:sz w:val="16"/>
        <w:lang w:val="en-US"/>
      </w:rPr>
      <w:t xml:space="preserve">EMEA: Bay 150, Shannon Industrial Estate, Shannon, County Clare | Irland | Tel.: +353 61 771 500 | </w:t>
    </w:r>
    <w:hyperlink r:id="rId4" w:history="1">
      <w:r w:rsidRPr="00CC662F">
        <w:rPr>
          <w:rStyle w:val="Hyperlink"/>
          <w:rFonts w:ascii="Arial" w:hAnsi="Arial"/>
          <w:sz w:val="16"/>
          <w:szCs w:val="16"/>
          <w:lang w:val="en-US"/>
        </w:rPr>
        <w:t>customerservice.shannon@itwpp.com</w:t>
      </w:r>
    </w:hyperlink>
    <w:r w:rsidRPr="00CC662F">
      <w:rPr>
        <w:rFonts w:ascii="Arial" w:hAnsi="Arial"/>
        <w:color w:val="231F2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B9AA" w14:textId="77777777" w:rsidR="00A20004" w:rsidRDefault="00A20004" w:rsidP="00A20004">
      <w:r>
        <w:separator/>
      </w:r>
    </w:p>
  </w:footnote>
  <w:footnote w:type="continuationSeparator" w:id="0">
    <w:p w14:paraId="7EF13F95" w14:textId="77777777" w:rsidR="00A20004" w:rsidRDefault="00A20004" w:rsidP="00A2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624"/>
    <w:multiLevelType w:val="hybridMultilevel"/>
    <w:tmpl w:val="6B6EEE66"/>
    <w:lvl w:ilvl="0" w:tplc="72384DF8">
      <w:start w:val="1"/>
      <w:numFmt w:val="decimal"/>
      <w:lvlText w:val="%1."/>
      <w:lvlJc w:val="left"/>
      <w:pPr>
        <w:ind w:left="373" w:hanging="227"/>
      </w:pPr>
      <w:rPr>
        <w:rFonts w:ascii="Arial" w:eastAsia="Arial" w:hAnsi="Arial" w:hint="default"/>
        <w:color w:val="231F20"/>
        <w:spacing w:val="-9"/>
        <w:sz w:val="18"/>
        <w:szCs w:val="18"/>
      </w:rPr>
    </w:lvl>
    <w:lvl w:ilvl="1" w:tplc="A4140988">
      <w:start w:val="1"/>
      <w:numFmt w:val="bullet"/>
      <w:lvlText w:val="•"/>
      <w:lvlJc w:val="left"/>
      <w:pPr>
        <w:ind w:left="938" w:hanging="227"/>
      </w:pPr>
      <w:rPr>
        <w:rFonts w:hint="default"/>
      </w:rPr>
    </w:lvl>
    <w:lvl w:ilvl="2" w:tplc="F99A274A">
      <w:start w:val="1"/>
      <w:numFmt w:val="bullet"/>
      <w:lvlText w:val="•"/>
      <w:lvlJc w:val="left"/>
      <w:pPr>
        <w:ind w:left="1503" w:hanging="227"/>
      </w:pPr>
      <w:rPr>
        <w:rFonts w:hint="default"/>
      </w:rPr>
    </w:lvl>
    <w:lvl w:ilvl="3" w:tplc="8DF2F918">
      <w:start w:val="1"/>
      <w:numFmt w:val="bullet"/>
      <w:lvlText w:val="•"/>
      <w:lvlJc w:val="left"/>
      <w:pPr>
        <w:ind w:left="2068" w:hanging="227"/>
      </w:pPr>
      <w:rPr>
        <w:rFonts w:hint="default"/>
      </w:rPr>
    </w:lvl>
    <w:lvl w:ilvl="4" w:tplc="B7EC911A">
      <w:start w:val="1"/>
      <w:numFmt w:val="bullet"/>
      <w:lvlText w:val="•"/>
      <w:lvlJc w:val="left"/>
      <w:pPr>
        <w:ind w:left="2633" w:hanging="227"/>
      </w:pPr>
      <w:rPr>
        <w:rFonts w:hint="default"/>
      </w:rPr>
    </w:lvl>
    <w:lvl w:ilvl="5" w:tplc="FBA815DE">
      <w:start w:val="1"/>
      <w:numFmt w:val="bullet"/>
      <w:lvlText w:val="•"/>
      <w:lvlJc w:val="left"/>
      <w:pPr>
        <w:ind w:left="3198" w:hanging="227"/>
      </w:pPr>
      <w:rPr>
        <w:rFonts w:hint="default"/>
      </w:rPr>
    </w:lvl>
    <w:lvl w:ilvl="6" w:tplc="33C4498E">
      <w:start w:val="1"/>
      <w:numFmt w:val="bullet"/>
      <w:lvlText w:val="•"/>
      <w:lvlJc w:val="left"/>
      <w:pPr>
        <w:ind w:left="3763" w:hanging="227"/>
      </w:pPr>
      <w:rPr>
        <w:rFonts w:hint="default"/>
      </w:rPr>
    </w:lvl>
    <w:lvl w:ilvl="7" w:tplc="336C336C">
      <w:start w:val="1"/>
      <w:numFmt w:val="bullet"/>
      <w:lvlText w:val="•"/>
      <w:lvlJc w:val="left"/>
      <w:pPr>
        <w:ind w:left="4328" w:hanging="227"/>
      </w:pPr>
      <w:rPr>
        <w:rFonts w:hint="default"/>
      </w:rPr>
    </w:lvl>
    <w:lvl w:ilvl="8" w:tplc="2640C9A8">
      <w:start w:val="1"/>
      <w:numFmt w:val="bullet"/>
      <w:lvlText w:val="•"/>
      <w:lvlJc w:val="left"/>
      <w:pPr>
        <w:ind w:left="489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2"/>
    <w:rsid w:val="00020737"/>
    <w:rsid w:val="000435BB"/>
    <w:rsid w:val="0005124F"/>
    <w:rsid w:val="000B0F3E"/>
    <w:rsid w:val="000F34B0"/>
    <w:rsid w:val="00131DD4"/>
    <w:rsid w:val="00154DE2"/>
    <w:rsid w:val="001C7942"/>
    <w:rsid w:val="001F2EE8"/>
    <w:rsid w:val="00200762"/>
    <w:rsid w:val="00234870"/>
    <w:rsid w:val="00243D19"/>
    <w:rsid w:val="002B3966"/>
    <w:rsid w:val="003F1CF1"/>
    <w:rsid w:val="00470A30"/>
    <w:rsid w:val="00514E9C"/>
    <w:rsid w:val="00585034"/>
    <w:rsid w:val="005B2DAA"/>
    <w:rsid w:val="005D1F44"/>
    <w:rsid w:val="006A753C"/>
    <w:rsid w:val="006C1E40"/>
    <w:rsid w:val="006C6FCD"/>
    <w:rsid w:val="006D159C"/>
    <w:rsid w:val="007123DB"/>
    <w:rsid w:val="00737E64"/>
    <w:rsid w:val="0075486F"/>
    <w:rsid w:val="007660DC"/>
    <w:rsid w:val="008075FC"/>
    <w:rsid w:val="008346E5"/>
    <w:rsid w:val="00841CC3"/>
    <w:rsid w:val="008B1A3D"/>
    <w:rsid w:val="008C39F3"/>
    <w:rsid w:val="00901572"/>
    <w:rsid w:val="009209F2"/>
    <w:rsid w:val="009A3CCD"/>
    <w:rsid w:val="009D79EB"/>
    <w:rsid w:val="00A20004"/>
    <w:rsid w:val="00A32052"/>
    <w:rsid w:val="00A830CA"/>
    <w:rsid w:val="00AA617E"/>
    <w:rsid w:val="00AB6B91"/>
    <w:rsid w:val="00AC08AF"/>
    <w:rsid w:val="00AD16C0"/>
    <w:rsid w:val="00AE0648"/>
    <w:rsid w:val="00AE2A9C"/>
    <w:rsid w:val="00B54324"/>
    <w:rsid w:val="00B93AA5"/>
    <w:rsid w:val="00C40F68"/>
    <w:rsid w:val="00CC662F"/>
    <w:rsid w:val="00D33312"/>
    <w:rsid w:val="00DA1516"/>
    <w:rsid w:val="00EE1D14"/>
    <w:rsid w:val="00FB76B0"/>
    <w:rsid w:val="00FF0EA9"/>
    <w:rsid w:val="00FF2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4575D"/>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B1A3D"/>
    <w:rPr>
      <w:color w:val="0000FF" w:themeColor="hyperlink"/>
      <w:u w:val="single"/>
    </w:rPr>
  </w:style>
  <w:style w:type="character" w:styleId="Ulstomtale">
    <w:name w:val="Unresolved Mention"/>
    <w:basedOn w:val="Standardskrifttypeiafsnit"/>
    <w:uiPriority w:val="99"/>
    <w:semiHidden/>
    <w:unhideWhenUsed/>
    <w:rsid w:val="008B1A3D"/>
    <w:rPr>
      <w:color w:val="605E5C"/>
      <w:shd w:val="clear" w:color="auto" w:fill="E1DFDD"/>
    </w:rPr>
  </w:style>
  <w:style w:type="paragraph" w:styleId="Markeringsbobletekst">
    <w:name w:val="Balloon Text"/>
    <w:basedOn w:val="Normal"/>
    <w:link w:val="MarkeringsbobletekstTegn"/>
    <w:uiPriority w:val="99"/>
    <w:semiHidden/>
    <w:unhideWhenUsed/>
    <w:rsid w:val="007123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23DB"/>
    <w:rPr>
      <w:rFonts w:ascii="Segoe UI" w:hAnsi="Segoe UI" w:cs="Segoe UI"/>
      <w:sz w:val="18"/>
      <w:szCs w:val="18"/>
    </w:rPr>
  </w:style>
  <w:style w:type="paragraph" w:styleId="Sidehoved">
    <w:name w:val="header"/>
    <w:basedOn w:val="Normal"/>
    <w:link w:val="SidehovedTegn"/>
    <w:uiPriority w:val="99"/>
    <w:unhideWhenUsed/>
    <w:rsid w:val="00A20004"/>
    <w:pPr>
      <w:tabs>
        <w:tab w:val="center" w:pos="4819"/>
        <w:tab w:val="right" w:pos="9638"/>
      </w:tabs>
    </w:pPr>
  </w:style>
  <w:style w:type="character" w:customStyle="1" w:styleId="SidehovedTegn">
    <w:name w:val="Sidehoved Tegn"/>
    <w:basedOn w:val="Standardskrifttypeiafsnit"/>
    <w:link w:val="Sidehoved"/>
    <w:uiPriority w:val="99"/>
    <w:rsid w:val="00A20004"/>
  </w:style>
  <w:style w:type="paragraph" w:styleId="Sidefod">
    <w:name w:val="footer"/>
    <w:basedOn w:val="Normal"/>
    <w:link w:val="SidefodTegn"/>
    <w:uiPriority w:val="99"/>
    <w:unhideWhenUsed/>
    <w:rsid w:val="00A20004"/>
    <w:pPr>
      <w:tabs>
        <w:tab w:val="center" w:pos="4819"/>
        <w:tab w:val="right" w:pos="9638"/>
      </w:tabs>
    </w:pPr>
  </w:style>
  <w:style w:type="character" w:customStyle="1" w:styleId="SidefodTegn">
    <w:name w:val="Sidefod Tegn"/>
    <w:basedOn w:val="Standardskrifttypeiafsnit"/>
    <w:link w:val="Sidefod"/>
    <w:uiPriority w:val="99"/>
    <w:rsid w:val="00A2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297FD-9760-4C09-BCA4-7848ECCE9753}">
  <ds:schemaRefs>
    <ds:schemaRef ds:uri="http://schemas.microsoft.com/sharepoint/v3/contenttype/forms"/>
  </ds:schemaRefs>
</ds:datastoreItem>
</file>

<file path=customXml/itemProps2.xml><?xml version="1.0" encoding="utf-8"?>
<ds:datastoreItem xmlns:ds="http://schemas.openxmlformats.org/officeDocument/2006/customXml" ds:itemID="{B57E9429-AA88-4808-8690-61E0235F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9449E-264A-417F-B9D3-B69DE3E02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778</Words>
  <Characters>4747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Gitte Brøchner Noer</cp:lastModifiedBy>
  <cp:revision>26</cp:revision>
  <dcterms:created xsi:type="dcterms:W3CDTF">2021-04-21T13:49:00Z</dcterms:created>
  <dcterms:modified xsi:type="dcterms:W3CDTF">2021-07-23T12:19:00Z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